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proofErr w:type="spellStart"/>
      <w:r w:rsidR="00653570" w:rsidRPr="00897945">
        <w:rPr>
          <w:rFonts w:cs="Arial"/>
          <w:lang w:val="ro-RO"/>
        </w:rPr>
        <w:t>ProCredit</w:t>
      </w:r>
      <w:proofErr w:type="spellEnd"/>
      <w:r w:rsidR="00653570" w:rsidRPr="00897945">
        <w:rPr>
          <w:rFonts w:cs="Arial"/>
          <w:lang w:val="ro-RO"/>
        </w:rPr>
        <w:t xml:space="preserve">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</w:t>
      </w:r>
      <w:proofErr w:type="spellStart"/>
      <w:r w:rsidRPr="00897945">
        <w:rPr>
          <w:rFonts w:cs="Arial"/>
          <w:lang w:val="ro-RO"/>
        </w:rPr>
        <w:t>şi</w:t>
      </w:r>
      <w:proofErr w:type="spellEnd"/>
      <w:r w:rsidRPr="00897945">
        <w:rPr>
          <w:rFonts w:cs="Arial"/>
          <w:lang w:val="ro-RO"/>
        </w:rPr>
        <w:t xml:space="preserve"> Sfânt, 65, of. 901</w:t>
      </w:r>
    </w:p>
    <w:p w14:paraId="7CDAD44A" w14:textId="6F05FDA6" w:rsidR="006C060D" w:rsidRPr="00CD0F59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29D5844D" w:rsidR="00CF4C9C" w:rsidRPr="00CD0F59" w:rsidRDefault="00B42EEF" w:rsidP="00206AA8">
      <w:pPr>
        <w:keepNext/>
        <w:keepLines/>
        <w:widowControl w:val="0"/>
        <w:spacing w:before="120" w:after="0"/>
        <w:jc w:val="both"/>
        <w:rPr>
          <w:sz w:val="18"/>
          <w:szCs w:val="18"/>
          <w:lang w:val="ro-RO"/>
        </w:rPr>
      </w:pPr>
      <w:r w:rsidRPr="00897945">
        <w:rPr>
          <w:lang w:val="ro-RO"/>
        </w:rPr>
        <w:t xml:space="preserve">Ca răspuns la avizul de procurare </w:t>
      </w:r>
      <w:r w:rsidR="00CD0F59" w:rsidRPr="00CD0F59">
        <w:rPr>
          <w:b/>
          <w:caps/>
          <w:lang w:val="ro-RO"/>
        </w:rPr>
        <w:t>04_PT_ISLU_Lucrari_Reparatie_Oficiu_Balti_</w:t>
      </w:r>
      <w:r w:rsidR="00CD0F59" w:rsidRPr="00CD0F59">
        <w:rPr>
          <w:b/>
          <w:caps/>
          <w:lang w:val="ro-RO"/>
        </w:rPr>
        <w:t xml:space="preserve"> </w:t>
      </w:r>
      <w:r w:rsidR="00CD0F59" w:rsidRPr="00CD0F59">
        <w:rPr>
          <w:b/>
          <w:caps/>
          <w:lang w:val="ro-RO"/>
        </w:rPr>
        <w:t>10042026</w:t>
      </w:r>
      <w:r w:rsidRPr="00CD0F59">
        <w:rPr>
          <w:sz w:val="18"/>
          <w:szCs w:val="18"/>
          <w:lang w:val="ro-RO"/>
        </w:rPr>
        <w:t xml:space="preserve">, </w:t>
      </w:r>
      <w:r w:rsidRPr="00897945">
        <w:rPr>
          <w:lang w:val="ro-RO"/>
        </w:rPr>
        <w:t xml:space="preserve">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r w:rsidR="002736E7" w:rsidRPr="00CD0F59">
        <w:rPr>
          <w:sz w:val="18"/>
          <w:szCs w:val="18"/>
          <w:lang w:val="ro-RO"/>
        </w:rPr>
        <w:t>„</w:t>
      </w:r>
      <w:r w:rsidR="00CD0F59" w:rsidRPr="00CD0F59">
        <w:rPr>
          <w:b/>
          <w:lang w:val="ro-RO"/>
        </w:rPr>
        <w:t>Licitație Publica privind selectarea companiei pentru efectuarea l</w:t>
      </w:r>
      <w:proofErr w:type="spellStart"/>
      <w:r w:rsidR="00CD0F59" w:rsidRPr="00CD0F59">
        <w:rPr>
          <w:b/>
        </w:rPr>
        <w:t>ucrarilor</w:t>
      </w:r>
      <w:proofErr w:type="spellEnd"/>
      <w:r w:rsidR="00CD0F59" w:rsidRPr="00CD0F59">
        <w:rPr>
          <w:b/>
        </w:rPr>
        <w:t xml:space="preserve"> de </w:t>
      </w:r>
      <w:proofErr w:type="spellStart"/>
      <w:r w:rsidR="00CD0F59" w:rsidRPr="00CD0F59">
        <w:rPr>
          <w:b/>
        </w:rPr>
        <w:t>reparatie</w:t>
      </w:r>
      <w:proofErr w:type="spellEnd"/>
      <w:r w:rsidR="00CD0F59" w:rsidRPr="00CD0F59">
        <w:rPr>
          <w:b/>
        </w:rPr>
        <w:t xml:space="preserve"> </w:t>
      </w:r>
      <w:proofErr w:type="spellStart"/>
      <w:r w:rsidR="00CD0F59" w:rsidRPr="00CD0F59">
        <w:rPr>
          <w:b/>
        </w:rPr>
        <w:t>capitala</w:t>
      </w:r>
      <w:proofErr w:type="spellEnd"/>
      <w:r w:rsidR="00CD0F59" w:rsidRPr="00CD0F59">
        <w:rPr>
          <w:b/>
        </w:rPr>
        <w:t xml:space="preserve"> a </w:t>
      </w:r>
      <w:proofErr w:type="spellStart"/>
      <w:r w:rsidR="00CD0F59" w:rsidRPr="00CD0F59">
        <w:rPr>
          <w:b/>
        </w:rPr>
        <w:t>filialei</w:t>
      </w:r>
      <w:proofErr w:type="spellEnd"/>
      <w:r w:rsidR="00CD0F59" w:rsidRPr="00CD0F59">
        <w:rPr>
          <w:b/>
        </w:rPr>
        <w:t xml:space="preserve"> </w:t>
      </w:r>
      <w:proofErr w:type="spellStart"/>
      <w:r w:rsidR="00CD0F59" w:rsidRPr="00CD0F59">
        <w:rPr>
          <w:b/>
        </w:rPr>
        <w:t>Bancii</w:t>
      </w:r>
      <w:proofErr w:type="spellEnd"/>
      <w:r w:rsidR="00CD0F59" w:rsidRPr="00CD0F59">
        <w:rPr>
          <w:b/>
        </w:rPr>
        <w:t xml:space="preserve"> din mun. Balti</w:t>
      </w:r>
      <w:r w:rsidR="002736E7" w:rsidRPr="00CD0F59">
        <w:rPr>
          <w:sz w:val="18"/>
          <w:szCs w:val="18"/>
          <w:lang w:val="ro-RO"/>
        </w:rPr>
        <w:t>”</w:t>
      </w:r>
      <w:r w:rsidR="006C060D" w:rsidRPr="00CD0F59">
        <w:rPr>
          <w:sz w:val="18"/>
          <w:szCs w:val="18"/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</w:t>
      </w:r>
      <w:proofErr w:type="spellStart"/>
      <w:r w:rsidR="00B42EEF" w:rsidRPr="00897945">
        <w:rPr>
          <w:lang w:val="ro-RO"/>
        </w:rPr>
        <w:t>şi</w:t>
      </w:r>
      <w:proofErr w:type="spellEnd"/>
      <w:r w:rsidR="00B42EEF" w:rsidRPr="00897945">
        <w:rPr>
          <w:lang w:val="ro-RO"/>
        </w:rPr>
        <w:t xml:space="preserve">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proofErr w:type="spellStart"/>
      <w:r w:rsidR="00B30E3D" w:rsidRPr="00897945">
        <w:rPr>
          <w:lang w:val="ro-RO"/>
        </w:rPr>
        <w:t>ProCredit</w:t>
      </w:r>
      <w:proofErr w:type="spellEnd"/>
      <w:r w:rsidR="00B30E3D" w:rsidRPr="00897945">
        <w:rPr>
          <w:lang w:val="ro-RO"/>
        </w:rPr>
        <w:t xml:space="preserve">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proofErr w:type="spellStart"/>
      <w:r w:rsidR="00B30E3D" w:rsidRPr="00897945">
        <w:rPr>
          <w:lang w:val="ro-RO"/>
        </w:rPr>
        <w:t>şi</w:t>
      </w:r>
      <w:proofErr w:type="spellEnd"/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</w:t>
      </w:r>
      <w:proofErr w:type="spellStart"/>
      <w:r w:rsidR="00B30E3D" w:rsidRPr="00897945">
        <w:rPr>
          <w:lang w:val="ro-RO"/>
        </w:rPr>
        <w:t>şi</w:t>
      </w:r>
      <w:proofErr w:type="spellEnd"/>
      <w:r w:rsidR="00B30E3D" w:rsidRPr="00897945">
        <w:rPr>
          <w:lang w:val="ro-RO"/>
        </w:rPr>
        <w:t xml:space="preserve">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proofErr w:type="spellStart"/>
      <w:r w:rsidR="00B30E3D" w:rsidRPr="00897945">
        <w:rPr>
          <w:rFonts w:cs="Arial"/>
          <w:lang w:val="ro-RO"/>
        </w:rPr>
        <w:t>ProCredit</w:t>
      </w:r>
      <w:proofErr w:type="spellEnd"/>
      <w:r w:rsidR="00B30E3D" w:rsidRPr="00897945">
        <w:rPr>
          <w:rFonts w:cs="Arial"/>
          <w:lang w:val="ro-RO"/>
        </w:rPr>
        <w:t xml:space="preserve">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</w:t>
      </w:r>
      <w:proofErr w:type="spellStart"/>
      <w:r w:rsidR="00B30E3D" w:rsidRPr="00897945">
        <w:rPr>
          <w:rFonts w:cs="Arial"/>
          <w:lang w:val="ro-RO"/>
        </w:rPr>
        <w:t>şi</w:t>
      </w:r>
      <w:proofErr w:type="spellEnd"/>
      <w:r w:rsidR="00B30E3D" w:rsidRPr="00897945">
        <w:rPr>
          <w:rFonts w:cs="Arial"/>
          <w:lang w:val="ro-RO"/>
        </w:rPr>
        <w:t xml:space="preserve">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</w:t>
      </w:r>
      <w:proofErr w:type="spellStart"/>
      <w:r w:rsidR="00B30E3D" w:rsidRPr="00897945">
        <w:rPr>
          <w:rFonts w:cs="Arial"/>
          <w:color w:val="000000"/>
          <w:lang w:val="ro-RO"/>
        </w:rPr>
        <w:t>defavoruri</w:t>
      </w:r>
      <w:proofErr w:type="spellEnd"/>
      <w:r w:rsidR="00B30E3D" w:rsidRPr="00897945">
        <w:rPr>
          <w:rFonts w:cs="Arial"/>
          <w:color w:val="000000"/>
          <w:lang w:val="ro-RO"/>
        </w:rPr>
        <w:t xml:space="preserve">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</w:t>
      </w:r>
      <w:proofErr w:type="spellStart"/>
      <w:r w:rsidRPr="00167F3E">
        <w:rPr>
          <w:rFonts w:cs="Arial"/>
          <w:color w:val="000000"/>
          <w:lang w:val="ro-RO"/>
        </w:rPr>
        <w:t>ProCredit</w:t>
      </w:r>
      <w:proofErr w:type="spellEnd"/>
      <w:r w:rsidRPr="00167F3E">
        <w:rPr>
          <w:rFonts w:cs="Arial"/>
          <w:color w:val="000000"/>
          <w:lang w:val="ro-RO"/>
        </w:rPr>
        <w:t xml:space="preserve">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</w:t>
      </w:r>
      <w:proofErr w:type="spellStart"/>
      <w:r w:rsidRPr="00897945">
        <w:rPr>
          <w:lang w:val="ro-RO"/>
        </w:rPr>
        <w:t>şi</w:t>
      </w:r>
      <w:proofErr w:type="spellEnd"/>
      <w:r w:rsidRPr="00897945">
        <w:rPr>
          <w:lang w:val="ro-RO"/>
        </w:rPr>
        <w:t xml:space="preserve">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CD0F59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pt;height:22.8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36E7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0F59"/>
    <w:rsid w:val="00CD4EE9"/>
    <w:rsid w:val="00CE2A0B"/>
    <w:rsid w:val="00CF465F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3794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8</cp:revision>
  <cp:lastPrinted>2009-04-29T13:45:00Z</cp:lastPrinted>
  <dcterms:created xsi:type="dcterms:W3CDTF">2023-10-05T11:47:00Z</dcterms:created>
  <dcterms:modified xsi:type="dcterms:W3CDTF">2026-04-14T09:44:00Z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